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b/>
          <w:sz w:val="32"/>
          <w:szCs w:val="32"/>
          <w:lang w:val="en-US" w:eastAsia="zh-CN"/>
        </w:rPr>
      </w:pPr>
      <w:r>
        <w:rPr>
          <w:rFonts w:hint="eastAsia" w:ascii="仿宋_GB2312" w:eastAsia="仿宋_GB2312"/>
          <w:b w:val="0"/>
          <w:bCs/>
          <w:sz w:val="32"/>
          <w:szCs w:val="32"/>
        </w:rPr>
        <w:t>附件</w:t>
      </w:r>
      <w:r>
        <w:rPr>
          <w:rFonts w:hint="eastAsia" w:ascii="仿宋_GB2312" w:eastAsia="仿宋_GB2312"/>
          <w:b w:val="0"/>
          <w:bCs/>
          <w:sz w:val="32"/>
          <w:szCs w:val="32"/>
          <w:lang w:val="en-US" w:eastAsia="zh-CN"/>
        </w:rPr>
        <w:t>1</w:t>
      </w:r>
    </w:p>
    <w:p>
      <w:pPr>
        <w:spacing w:line="600" w:lineRule="exact"/>
        <w:jc w:val="center"/>
        <w:rPr>
          <w:rFonts w:hint="eastAsia" w:ascii="方正小标宋简体" w:hAnsi="华文中宋" w:eastAsia="黑体"/>
          <w:b/>
          <w:w w:val="95"/>
          <w:sz w:val="32"/>
          <w:szCs w:val="32"/>
          <w:lang w:val="en-US" w:eastAsia="zh-CN"/>
        </w:rPr>
      </w:pPr>
      <w:r>
        <w:rPr>
          <w:rFonts w:hint="eastAsia" w:ascii="黑体" w:hAnsi="黑体" w:eastAsia="黑体" w:cs="黑体"/>
          <w:sz w:val="32"/>
          <w:szCs w:val="32"/>
        </w:rPr>
        <w:t>20</w:t>
      </w:r>
      <w:r>
        <w:rPr>
          <w:rFonts w:hint="eastAsia" w:ascii="黑体" w:hAnsi="黑体" w:eastAsia="黑体" w:cs="黑体"/>
          <w:sz w:val="32"/>
          <w:szCs w:val="32"/>
          <w:lang w:val="en-US" w:eastAsia="zh-CN"/>
        </w:rPr>
        <w:t>23</w:t>
      </w:r>
      <w:r>
        <w:rPr>
          <w:rFonts w:hint="eastAsia" w:ascii="黑体" w:hAnsi="黑体" w:eastAsia="黑体" w:cs="黑体"/>
          <w:sz w:val="32"/>
          <w:szCs w:val="32"/>
        </w:rPr>
        <w:t>年湖南农业大学研究生</w:t>
      </w:r>
      <w:r>
        <w:rPr>
          <w:rFonts w:hint="eastAsia" w:ascii="黑体" w:hAnsi="黑体" w:eastAsia="黑体" w:cs="黑体"/>
          <w:sz w:val="32"/>
          <w:szCs w:val="32"/>
          <w:lang w:val="en-US" w:eastAsia="zh-CN"/>
        </w:rPr>
        <w:t>科研创新</w:t>
      </w:r>
      <w:r>
        <w:rPr>
          <w:rFonts w:hint="eastAsia" w:ascii="黑体" w:hAnsi="黑体" w:eastAsia="黑体" w:cs="黑体"/>
          <w:sz w:val="32"/>
          <w:szCs w:val="32"/>
        </w:rPr>
        <w:t>立项项目</w:t>
      </w:r>
      <w:r>
        <w:rPr>
          <w:rFonts w:hint="eastAsia" w:ascii="黑体" w:hAnsi="黑体" w:eastAsia="黑体" w:cs="黑体"/>
          <w:sz w:val="32"/>
          <w:szCs w:val="32"/>
          <w:lang w:val="en-US" w:eastAsia="zh-CN"/>
        </w:rPr>
        <w:t>名单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hAnsi="华文中宋" w:eastAsia="方正小标宋简体"/>
          <w:w w:val="95"/>
          <w:sz w:val="30"/>
          <w:szCs w:val="30"/>
        </w:rPr>
      </w:pPr>
    </w:p>
    <w:tbl>
      <w:tblPr>
        <w:tblStyle w:val="4"/>
        <w:tblW w:w="10249" w:type="dxa"/>
        <w:jc w:val="center"/>
        <w:tblLayout w:type="autofit"/>
        <w:tblCellMar>
          <w:top w:w="0" w:type="dxa"/>
          <w:left w:w="108" w:type="dxa"/>
          <w:bottom w:w="0" w:type="dxa"/>
          <w:right w:w="108" w:type="dxa"/>
        </w:tblCellMar>
      </w:tblPr>
      <w:tblGrid>
        <w:gridCol w:w="1419"/>
        <w:gridCol w:w="975"/>
        <w:gridCol w:w="4625"/>
        <w:gridCol w:w="962"/>
        <w:gridCol w:w="913"/>
        <w:gridCol w:w="1355"/>
      </w:tblGrid>
      <w:tr>
        <w:tblPrEx>
          <w:tblCellMar>
            <w:top w:w="0" w:type="dxa"/>
            <w:left w:w="108" w:type="dxa"/>
            <w:bottom w:w="0" w:type="dxa"/>
            <w:right w:w="108" w:type="dxa"/>
          </w:tblCellMar>
        </w:tblPrEx>
        <w:trPr>
          <w:trHeight w:val="714" w:hRule="atLeast"/>
          <w:tblHeader/>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b/>
                <w:bCs/>
                <w:kern w:val="0"/>
                <w:sz w:val="24"/>
                <w:lang w:val="en-US" w:eastAsia="zh-CN"/>
              </w:rPr>
            </w:pPr>
            <w:r>
              <w:rPr>
                <w:rFonts w:hint="eastAsia" w:ascii="仿宋_GB2312" w:hAnsi="宋体" w:eastAsia="仿宋_GB2312" w:cs="宋体"/>
                <w:b/>
                <w:bCs/>
                <w:kern w:val="0"/>
                <w:sz w:val="24"/>
                <w:lang w:val="en-US" w:eastAsia="zh-CN"/>
              </w:rPr>
              <w:t>项目编号</w:t>
            </w:r>
          </w:p>
        </w:tc>
        <w:tc>
          <w:tcPr>
            <w:tcW w:w="9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学院</w:t>
            </w:r>
          </w:p>
        </w:tc>
        <w:tc>
          <w:tcPr>
            <w:tcW w:w="46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项目名称</w:t>
            </w:r>
          </w:p>
        </w:tc>
        <w:tc>
          <w:tcPr>
            <w:tcW w:w="9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项目</w:t>
            </w:r>
            <w:r>
              <w:rPr>
                <w:rFonts w:hint="eastAsia" w:ascii="仿宋_GB2312" w:hAnsi="宋体" w:eastAsia="仿宋_GB2312" w:cs="宋体"/>
                <w:b/>
                <w:bCs/>
                <w:kern w:val="0"/>
                <w:sz w:val="24"/>
              </w:rPr>
              <w:br w:type="textWrapping"/>
            </w:r>
            <w:r>
              <w:rPr>
                <w:rFonts w:hint="eastAsia" w:ascii="仿宋_GB2312" w:hAnsi="宋体" w:eastAsia="仿宋_GB2312" w:cs="宋体"/>
                <w:b/>
                <w:bCs/>
                <w:kern w:val="0"/>
                <w:sz w:val="24"/>
              </w:rPr>
              <w:t>负责人</w:t>
            </w:r>
          </w:p>
        </w:tc>
        <w:tc>
          <w:tcPr>
            <w:tcW w:w="9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bCs/>
                <w:kern w:val="0"/>
                <w:sz w:val="24"/>
                <w:lang w:val="en-US" w:eastAsia="zh-CN"/>
              </w:rPr>
            </w:pPr>
            <w:r>
              <w:rPr>
                <w:rFonts w:hint="eastAsia" w:ascii="仿宋_GB2312" w:hAnsi="宋体" w:eastAsia="仿宋_GB2312" w:cs="宋体"/>
                <w:b/>
                <w:bCs/>
                <w:kern w:val="0"/>
                <w:sz w:val="24"/>
                <w:lang w:val="en-US" w:eastAsia="zh-CN"/>
              </w:rPr>
              <w:t>指导教师</w:t>
            </w:r>
          </w:p>
        </w:tc>
        <w:tc>
          <w:tcPr>
            <w:tcW w:w="13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立项日期</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2023XC00</w:t>
            </w:r>
            <w:r>
              <w:rPr>
                <w:rFonts w:hint="default" w:eastAsia="仿宋_GB2312" w:cs="Times New Roman"/>
                <w:color w:val="000000"/>
                <w:kern w:val="0"/>
                <w:sz w:val="22"/>
                <w:szCs w:val="22"/>
                <w:lang w:val="en-US" w:eastAsia="zh-CN"/>
              </w:rPr>
              <w:t>1</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动科院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宁乡猪全基因组拷贝数变异图谱构建及肉质性状主效候选基因的筛选</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杨芳</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何俊</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2023XC00</w:t>
            </w:r>
            <w:r>
              <w:rPr>
                <w:rFonts w:hint="default" w:eastAsia="仿宋_GB2312" w:cs="Times New Roman"/>
                <w:color w:val="000000"/>
                <w:kern w:val="0"/>
                <w:sz w:val="22"/>
                <w:szCs w:val="22"/>
                <w:lang w:val="en-US" w:eastAsia="zh-CN"/>
              </w:rPr>
              <w:t>2</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动科院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宁乡猪生长曲线拟合及肌肉脂肪组织形态学研究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谭文华</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张跃博</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2023XC00</w:t>
            </w:r>
            <w:r>
              <w:rPr>
                <w:rFonts w:hint="default" w:eastAsia="仿宋_GB2312" w:cs="Times New Roman"/>
                <w:color w:val="000000"/>
                <w:kern w:val="0"/>
                <w:sz w:val="22"/>
                <w:szCs w:val="22"/>
                <w:lang w:val="en-US" w:eastAsia="zh-CN"/>
              </w:rPr>
              <w:t>3</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动科院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日粮添加亮氨酸对安格斯牛肉品质、肠道微生物和肌纤维的影响</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赵相超</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王祚</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2023XC00</w:t>
            </w:r>
            <w:r>
              <w:rPr>
                <w:rFonts w:hint="default" w:eastAsia="仿宋_GB2312" w:cs="Times New Roman"/>
                <w:color w:val="000000"/>
                <w:kern w:val="0"/>
                <w:sz w:val="22"/>
                <w:szCs w:val="22"/>
                <w:lang w:val="en-US" w:eastAsia="zh-CN"/>
              </w:rPr>
              <w:t>4</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动科院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雪峰乌骨鸡胸肌黑色素细胞发育规律的探究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李鹏</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贺长青</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2023XC00</w:t>
            </w:r>
            <w:r>
              <w:rPr>
                <w:rFonts w:hint="default" w:eastAsia="仿宋_GB2312" w:cs="Times New Roman"/>
                <w:color w:val="000000"/>
                <w:kern w:val="0"/>
                <w:sz w:val="22"/>
                <w:szCs w:val="22"/>
                <w:lang w:val="en-US" w:eastAsia="zh-CN"/>
              </w:rPr>
              <w:t>5</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动科院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宁乡猪不同生长发育阶段肌肉组织转录组表达谱差异分析</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夏铭隆</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陈家顺</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2023XC00</w:t>
            </w:r>
            <w:r>
              <w:rPr>
                <w:rFonts w:hint="default" w:eastAsia="仿宋_GB2312" w:cs="Times New Roman"/>
                <w:color w:val="000000"/>
                <w:kern w:val="0"/>
                <w:sz w:val="22"/>
                <w:szCs w:val="22"/>
                <w:lang w:val="en-US" w:eastAsia="zh-CN"/>
              </w:rPr>
              <w:t>6</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动科院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外泌体CircRNA通过PI3K/AKt/mTOR信号轴调控猪肌内脂肪沉积机理</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刘付穗</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马海明</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2023XC00</w:t>
            </w:r>
            <w:r>
              <w:rPr>
                <w:rFonts w:hint="default" w:eastAsia="仿宋_GB2312" w:cs="Times New Roman"/>
                <w:color w:val="000000"/>
                <w:kern w:val="0"/>
                <w:sz w:val="22"/>
                <w:szCs w:val="22"/>
                <w:lang w:val="en-US" w:eastAsia="zh-CN"/>
              </w:rPr>
              <w:t>7</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动科院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移植宁乡猪粪菌对杜长大猪脂质沉积影响的机制研究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韩丽</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黄兴国</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2023XC00</w:t>
            </w:r>
            <w:r>
              <w:rPr>
                <w:rFonts w:hint="default" w:eastAsia="仿宋_GB2312" w:cs="Times New Roman"/>
                <w:color w:val="000000"/>
                <w:kern w:val="0"/>
                <w:sz w:val="22"/>
                <w:szCs w:val="22"/>
                <w:lang w:val="en-US" w:eastAsia="zh-CN"/>
              </w:rPr>
              <w:t>8</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动医院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基于GRP78/PERK/CHOP内质网应激通路探索T-2毒素诱导猪肾损伤的分子机制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刘翔燕</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李荣芳</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2023XC00</w:t>
            </w:r>
            <w:r>
              <w:rPr>
                <w:rFonts w:hint="default" w:eastAsia="仿宋_GB2312" w:cs="Times New Roman"/>
                <w:color w:val="000000"/>
                <w:kern w:val="0"/>
                <w:sz w:val="22"/>
                <w:szCs w:val="22"/>
                <w:lang w:val="en-US" w:eastAsia="zh-CN"/>
              </w:rPr>
              <w:t>9</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动医院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中国微小扇头蜱肠道菌群多样性与新发病原体初探</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邓园萍</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段德勇</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10</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动医院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基于 MicroRNA-mRNA-激酶-磷酸化蛋白互作网</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络，探究别隐品碱治疗 DSS 诱导湘黄鸡结直肠炎</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的机制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杨扬</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柳亦松</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11</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动医院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浣熊蛔虫蛋白质组与磷酸化蛋白质组学整合分析</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李志康</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刘磊</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12</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动医院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莓茶提取物对断奶仔猪生长性能、血清生化指标及粪便微生物的影响</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伍蓉蓉</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伍勇</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13</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动医院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Abl 和 Src 家族激酶调控宁乡猪宿主细胞抵御 PCV2 感染的作用及其机制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盘艳莹</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纪春晓</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14</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水产院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湘江四大家鱼早期资源密度及其与环境因子关系</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杨政飞</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黄艳飞</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15</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水产院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牛蛙微卫星标记筛选及其遗传多样性研究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李兆薇</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王晓清</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16</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水产院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河蚬肉粉及河蚬多糖对黄鳝肝脏健康及糖脂代谢的影响</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谢凯</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胡毅</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17</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化材院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一种温和的通过酰胺转化合成酰胺类和酯类药物分子的合成方法研究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应胜能</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桂清文</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18</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化材院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镉胁迫下水稻中独脚金内酯原位生物传感测定用电极芯片的研发</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胡诗于</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苏招红</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19</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化材院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纳米金属Mg冲击响应的原位 X 衍射模拟与解析研究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贺德兵</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王亮</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20</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环生院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氮循环抑制剂调控多菌灵与多效唑在植物-土壤中的分配机制研究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郭涛</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张满云</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21</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环生院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稻鱼共作体系砷迁移转化的关键过程研究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周一敏</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雷鸣</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22</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环生院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铂纳米颗粒和铂离子在水稻中的迁移转化规律与毒性作用机制比较研究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刘欣</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杨远/周耀渝</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23</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环生院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电解法处理矿山酸性废水净化能力及机理研究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李丹霓</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罗琳</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24</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环生院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人工湿地沉水植物苦草-附着生物膜对农田退水的净化及其机理研究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普彤</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葛大兵</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25</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环生院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早/晚稻秸秆还田后土壤Cd动态变化的差异机制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付鑫</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罗斯</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26</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机电院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基于黑水虻幼虫避光蠕动的滚筒筛分虫粪装置设计与研究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张齐东</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彭才望</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27</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i w:val="0"/>
                <w:iCs w:val="0"/>
                <w:color w:val="auto"/>
                <w:kern w:val="0"/>
                <w:sz w:val="22"/>
                <w:szCs w:val="22"/>
                <w:u w:val="none"/>
                <w:lang w:val="en-US" w:eastAsia="zh-CN" w:bidi="ar"/>
              </w:rPr>
              <w:t>机电院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颗粒饲料楔形料仓下料数值分析及流率模型构建</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黄天赐</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邬备</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28</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机电院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油茶果籽壳摩擦式清选技术及装备研发</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胡靖</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吴志立</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29</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机电院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基于秸秆高值化利用的双螺杆挤压预处理关键技术及装备研发</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艾文可</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高崇风</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30</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景艺院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潇贺古道湖南段遗产廊道构建研究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赵斯源</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姚磊</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31</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景艺院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完善思想政治工作体系，推进高校研究生党团学班组织一体化作用发挥的路径研究——以湖南农业大学风景园林与艺术设计学院为例</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陈家洛</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邓益成/刘盈</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32</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景艺院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中国茶叶生产布局变迁及影响因素研究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李馨雨</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张国武</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33</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景艺院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长沙市立交桥绿化植物滞尘能力研究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孔琳雅</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黄鑫浩</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34</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食科院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柚皮苷-Fe3O4纳米复合纤维膜对预制菜“毛氏红烧肉”关键品质的影响及其机理研究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熊蓥姿</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刘霞</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35</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食科院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掺杂Ag NPs @ ZnO NFs复合纳米材料的多功能果蔬保鲜泡沫网的研究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张雅琴</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石星波</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36</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食科院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茶渣可溶性膳食纤维营养饮品对炎症性肠病的干预研究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李雯斓</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李脉泉</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bookmarkStart w:id="0" w:name="_GoBack"/>
            <w:bookmarkEnd w:id="0"/>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37</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食科院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不同冠突散囊菌接种发酵对茯砖茶滋味品质的影响及其机制研究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陈惠</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肖愈</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38</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食科院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“提取-递送”一体化NADES对熊果酸生物可利用度及生物活性影响研究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李海燕</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曾朝喜</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39</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食科院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EGCG与乳脂肪球膜界面互作对含茶乳饮料涩感感知的影响</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李星漪</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罗洁</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40</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食科院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基于纳米颗粒包埋改善辣椒素抗菌性能的研究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张光胤</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邓放明</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41</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食科院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菊粉对鲜湿米粉品质影响研究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叶媛</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张喻</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42</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水土院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洞庭湖区旱涝急转对水稻产量及品质的影响研究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龙泓锦</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王辉</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43</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水土院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以灌溉为主的水利工程碳效益核算及评价方法研究-以犬木塘灌区工程为例</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杨威</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许文彬</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44</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信科院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植物表型的三维可视化平台及算法研究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张杨聪</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朱幸辉</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45</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信科院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多平台作物基因组结构变异分析智能算法研究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蒋晓晗</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聂笑一</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46</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信科院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制面机自动生产控制算法的优化</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邱明伟</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刘波</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47</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公法院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创新促进农村公共服务高质量发展路径研究—以政府购买农村留守儿童福利服务为例</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赵楠</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朱翠英</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48</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公法院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数据交易制度视角下的我国公共数据开放保障研究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张斌</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米加宁</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49</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公法院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基于“互联网+志愿服务”的共享养老模式研究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张浩帆</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陈岳堂</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50</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公法院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面向健康中国战略的智慧养老数据资源体系建设路径研究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夏冬平</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吴松江</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51</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公法院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农民对数字素养培育需求的潜在类别及其影响因素研究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auto"/>
                <w:kern w:val="0"/>
                <w:sz w:val="22"/>
                <w:szCs w:val="22"/>
                <w:u w:val="none"/>
                <w:lang w:val="en-US" w:eastAsia="zh-CN" w:bidi="ar"/>
              </w:rPr>
              <w:t>谢燕</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熊春林</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52</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公法院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城乡结合部宅基地治理的剩余控制权冲突及对策</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李兆鑫</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贺林波</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53</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教育院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湖南省高职专业认证的</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质量保障体系研究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石汉卿</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郭丽君</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54</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教育院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中职生好奇心对创造力的影响：外倾性人格的调节作用</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刘汪靓</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刘文俐</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55</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经济院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禀赋异质性下农田基础设施治理的契约与绩效研究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张伟</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何平均</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56</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经济院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灌区水权制度改革的农户行为响应及其效应研究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张柯贤</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黎红梅</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57</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经济院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普惠金融高质量发展的路径与机制研究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徐豫湘</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李明贤</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58</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经济院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社会网络对农业技术扩散影响的实证与仿真研究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吕金武</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喻言</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59</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经济院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不确定性视角下生鲜电商平台的经营模式选择</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陈霞佑</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喻言</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60</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经济院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基于气候风险冲击的农村商业银行信用风险压力测试研究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石硕</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刘波</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61</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经济院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数智赋能涉农企业创新能力提升的实现机制研究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王卓凡</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夏玉莲</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62</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经济院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湖南省水稻种业创新发展机制与路径研究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李文婷</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李星星</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63</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经济院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农林类制造产业集聚如何推动农业现代化？—基于产业关联视角</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肖琳</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雷雨亮</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64</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经济院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消费者对乳制品品质属性的偏好与支付意愿研究-基于内蒙古酸奶消费者的选择实验</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高娜</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喻言</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65</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马院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马克思主义农业现代化思想视域下湖南智慧农业发展的动力机制研究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谢灿洲</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熊亮</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66</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人外院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中华耕织文化多模态中英双语平行语料库建设</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王文轩</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李丹</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67</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人外院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湖南桥梁红色文化的外宣翻译研究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谢珑珍</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王建辉</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68</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商学院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数字经济赋能先进制造业绿色技术创新的机制与路径研究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吴菁琳</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谢宜章</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69</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商学院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数字碳中和对农业创新创业的影响机理与路径研究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刘杨</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黄辉</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70</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商学院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创业呼唤、创业机会识别与家庭农场创业绩效关系研究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杨可</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易朝辉</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2023XC0</w:t>
            </w:r>
            <w:r>
              <w:rPr>
                <w:rFonts w:hint="default" w:eastAsia="仿宋_GB2312" w:cs="Times New Roman"/>
                <w:color w:val="000000"/>
                <w:kern w:val="0"/>
                <w:sz w:val="22"/>
                <w:szCs w:val="22"/>
                <w:lang w:val="en-US" w:eastAsia="zh-CN"/>
              </w:rPr>
              <w:t>71</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商学院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共同富裕视角下家庭农场带动小农户发展的动力机制及路径优化研究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付豪梦</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肖化柱</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rPr>
            </w:pPr>
            <w:r>
              <w:rPr>
                <w:rFonts w:hint="eastAsia" w:eastAsia="仿宋_GB2312" w:cs="Times New Roman"/>
                <w:color w:val="000000"/>
                <w:kern w:val="0"/>
                <w:sz w:val="22"/>
                <w:szCs w:val="22"/>
                <w:lang w:val="en-US" w:eastAsia="zh-CN"/>
              </w:rPr>
              <w:t>2023XC</w:t>
            </w:r>
            <w:r>
              <w:rPr>
                <w:rFonts w:hint="default" w:eastAsia="仿宋_GB2312" w:cs="Times New Roman"/>
                <w:color w:val="000000"/>
                <w:kern w:val="0"/>
                <w:sz w:val="22"/>
                <w:szCs w:val="22"/>
                <w:lang w:val="en-US" w:eastAsia="zh-CN"/>
              </w:rPr>
              <w:t>072</w:t>
            </w:r>
          </w:p>
        </w:tc>
        <w:tc>
          <w:tcPr>
            <w:tcW w:w="97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商学院</w:t>
            </w:r>
          </w:p>
        </w:tc>
        <w:tc>
          <w:tcPr>
            <w:tcW w:w="46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基于扎根理论的有机食品消费意向——行为差距研究</w:t>
            </w:r>
          </w:p>
        </w:tc>
        <w:tc>
          <w:tcPr>
            <w:tcW w:w="9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夏茂森</w:t>
            </w:r>
          </w:p>
        </w:tc>
        <w:tc>
          <w:tcPr>
            <w:tcW w:w="9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向平安</w:t>
            </w:r>
          </w:p>
        </w:tc>
        <w:tc>
          <w:tcPr>
            <w:tcW w:w="13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2"/>
                <w:szCs w:val="22"/>
                <w:lang w:val="en-US" w:eastAsia="zh-CN" w:bidi="ar-SA"/>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2023XC073</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商学院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中国情景下的农民创业：理论模型与实证检验</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徐婕</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周宇飞</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2023XC074</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体育院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教育数字化驱动中小学体育教学创新发展研究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黄格</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刘周敏</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2023XC075</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体育院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乡村振兴视阈下农村体育赛事运行机制研究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刘琴</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周平</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2023XC076</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体育院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博弈论下的高校学生体质健康测试工作行为规制研究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胡佳丽</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王冬冬</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2023XC077</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农学院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基于重测序的老鸦谷苗期耐盐相关性状的全基因组关联分析</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周涛</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刘明稀</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2023XC078</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农学院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甘蓝型油菜BnaABI4基因逆境响应模式及抗逆功能鉴定</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杨慧</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刘春林</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2023XC079</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农学院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药饲两用苎麻功能基因挖掘与利用</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何鹏亮</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揭雨成</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2023XC080</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农学院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水稻秸秆生物转化及其在腐殖土育苗基质开发中的应用</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李宇飞</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王悦</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2023XC081</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农学院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基于无人机遥感的苎麻种质资源表型智能化监测与评价</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付虹雨</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崔国贤</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2023XC082</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农学院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再生稻再生芽萌发与休眠差异的机理研究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盖盼盼</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唐启源</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2023XC083</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农学院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玉米籽粒蛋白质含量的全基因组关联分析</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吕丹</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罗红兵</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2023XC084</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农学院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ABC转运蛋白家族基因OsABCG17参与水稻耐盐性机制的研究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张丹</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雷东阳</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2023XC085</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农学院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水稻开花期高温胁迫下脂肪酶基因HTA1的功能分析</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罗靖凯</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张桂莲</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2023XC086</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农学院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水稻种子耐贮基因SS7的分子机理研究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王燕</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张海清</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2023XC087</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农学院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Hsf转录因子调控新型牧草籽粒苋的耐盐分子机制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甘锦鑫</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徐倩</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2023XC088</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生科院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透明质酸负载铜基蒙脱石的纳米水凝胶双靶向治疗溃疡性结肠炎</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费雁泉</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方俊</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2023XC089</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生科院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黄精种子繁苗促生菌的筛选及促生机理探究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邱密</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周小云</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2023XC090</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生科院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清风藤碱合成酶的作用机制研究及其定向改良</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陈加蓓</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陈信波</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2023XC091</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生科院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解脂耶氏酵母细胞工厂高效合成罗汉果苷IIE</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周菡</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田云</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2023XC092</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生科院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基于“肠-肝”轴的栀子藏红花素干预糖代谢异常的分子机制研究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吕承豪</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覃思</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2023XC093</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生科院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SERP5对植物菌核病抗性的调控作用研究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陈祎</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夏石头</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2023XC094</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生科院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解脂耶氏酵母细胞工厂高效合成二十二碳二烯酸</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胡鹏程</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刘虎虎</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2023XC095</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生科院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转录因子OsWRKY70调控水稻抗稻瘟病的机制研究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李江迪</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肖桂青</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2023XC096</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园艺院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UDP-葡萄糖基转移酶（UGT）响应高温胁迫调控果实大小的机理研究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尼沛艺</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杨国顺</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2023XC097</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园艺院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辣椒株高突变体</w:t>
            </w:r>
            <w:r>
              <w:rPr>
                <w:rFonts w:hint="eastAsia" w:ascii="仿宋_GB2312" w:hAnsi="仿宋_GB2312" w:eastAsia="仿宋_GB2312" w:cs="仿宋_GB2312"/>
                <w:i/>
                <w:iCs/>
                <w:color w:val="auto"/>
                <w:kern w:val="0"/>
                <w:sz w:val="22"/>
                <w:szCs w:val="22"/>
                <w:u w:val="none"/>
                <w:lang w:val="en-US" w:eastAsia="zh-CN" w:bidi="ar"/>
              </w:rPr>
              <w:t>Caiph1</w:t>
            </w:r>
            <w:r>
              <w:rPr>
                <w:rFonts w:hint="eastAsia" w:ascii="仿宋_GB2312" w:hAnsi="仿宋_GB2312" w:eastAsia="仿宋_GB2312" w:cs="仿宋_GB2312"/>
                <w:i w:val="0"/>
                <w:iCs w:val="0"/>
                <w:color w:val="auto"/>
                <w:kern w:val="0"/>
                <w:sz w:val="22"/>
                <w:szCs w:val="22"/>
                <w:u w:val="none"/>
                <w:lang w:val="en-US" w:eastAsia="zh-CN" w:bidi="ar"/>
              </w:rPr>
              <w:t>调控基因定位、克隆及其分子机制研究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袁巧玲</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熊程</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2023XC098</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园艺院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辣椒果形基因的定位、克隆及功能分析</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毛莲珍</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刘周斌</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2023XC099</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园艺院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辣椒叶片环式电子传递对Cd胁迫的响应机制研究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许洪扬</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朱凡</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2023XC100</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园艺院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基于代谢组学的江华苦茶苦味滋味研究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邢瑞雪</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林勇</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2023XC101</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园艺院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高温弱抗性茶树品种轻基质穴盘扦插苗的快速生根机理研究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左浩明</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沈程文</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2023XC102</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园艺院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基于TSWV辣椒基因编辑体系创建</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张宏冠</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胡博文</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2023XC103</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园艺院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十字花科蔬菜芽苗中硫代葡萄糖苷多样性差异及抗氧化性分析</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刘娟</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王军伟</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2023XC104</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园艺院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基于营养及功效成分结合AHP-CRITIC综合赋权法优选茯苓初加工工艺</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高楚倩</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谢红旗</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2023XC105</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园艺院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激光破壁灵芝孢子粉多糖抗肥胖机制研究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陈晗琪</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刘东波</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2023XC106</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园艺院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灵芝多糖硒纳米颗粒改善HepG2细胞氧化应激的作用与机制研究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肖郑鹏</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康信聪</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2023XC107</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园艺院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常春藤皂苷C生物合成途径中关键细胞色素P450酶和UDP-糖基转移酶基因的挖掘与功能验证</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张晶</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郑亚杰</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2023XC108</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园艺院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热胁迫条件下AP2/ERF转录因子调控红花檵木花青苷合成代谢的分子机制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唐伟</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李炎林</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2023XC109</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植保院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看麦娘抗甲基二磺隆代谢抗性机理研究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湛优</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柏连阳</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2023XC110</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植保院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转录因子调控表皮蛋白基因参与斜纹夜蛾茚虫威抗性的分子机制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王炳杰</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石力</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2023XC111</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植保院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蚯蚓强化Bacillus velezensis YFB3-1对辣椒疫病的防治效果及机制研究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穆晓清</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戴良英</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2023XC112</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植保院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苦木提取物缓解氯氟吡氧乙酸对水稻药害的作用研究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叶晓君</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胡利锋</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2023XC113</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资源院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基于地理相似性转换规则和邻域配置的城镇扩张动态模拟</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李印齐</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谭雪兰</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2023XC114</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资源院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湖南省多尺度生态系统服务供需关系及影响因素研究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唐兴隆</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杨君</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2023XC115</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资源院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热点区土壤微生物多样性及功能对土地利用变化的响应</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肖华翠</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欧阳凯</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832"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2023XC116</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资源院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油菜硝酸盐转运蛋白BnaNRT1.1调控硝酸盐吸收的生理分子机制及硝酸盐亲和性差异的分子机制</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王茹梦</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龚盼</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r>
        <w:tblPrEx>
          <w:tblCellMar>
            <w:top w:w="0" w:type="dxa"/>
            <w:left w:w="108" w:type="dxa"/>
            <w:bottom w:w="0" w:type="dxa"/>
            <w:right w:w="108" w:type="dxa"/>
          </w:tblCellMar>
        </w:tblPrEx>
        <w:trPr>
          <w:trHeight w:val="680" w:hRule="exact"/>
          <w:jc w:val="center"/>
        </w:trPr>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eastAsia="仿宋_GB2312" w:cs="Times New Roman"/>
                <w:color w:val="000000"/>
                <w:kern w:val="0"/>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2023XC117</w:t>
            </w:r>
          </w:p>
        </w:tc>
        <w:tc>
          <w:tcPr>
            <w:tcW w:w="9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资源院</w:t>
            </w:r>
          </w:p>
        </w:tc>
        <w:tc>
          <w:tcPr>
            <w:tcW w:w="46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茶树促生型生物有机肥研发与应用</w:t>
            </w:r>
          </w:p>
        </w:tc>
        <w:tc>
          <w:tcPr>
            <w:tcW w:w="96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袁沛</w:t>
            </w:r>
          </w:p>
        </w:tc>
        <w:tc>
          <w:tcPr>
            <w:tcW w:w="91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彭建伟</w:t>
            </w:r>
          </w:p>
        </w:tc>
        <w:tc>
          <w:tcPr>
            <w:tcW w:w="13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Style w:val="15"/>
                <w:rFonts w:hint="eastAsia"/>
                <w:sz w:val="22"/>
                <w:szCs w:val="22"/>
                <w:lang w:val="en-US" w:eastAsia="zh-CN" w:bidi="ar"/>
              </w:rPr>
            </w:pPr>
            <w:r>
              <w:rPr>
                <w:rFonts w:hint="eastAsia" w:eastAsia="仿宋_GB2312" w:cs="Times New Roman"/>
                <w:color w:val="000000"/>
                <w:kern w:val="0"/>
                <w:sz w:val="22"/>
                <w:szCs w:val="22"/>
                <w:lang w:val="en-US" w:eastAsia="zh-CN"/>
              </w:rPr>
              <w:t>2023-2025</w:t>
            </w:r>
          </w:p>
        </w:tc>
      </w:tr>
    </w:tbl>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YWUwN2MwMDk1ODk3ZTZhZDQ4Y2E1M2U5OTM0NTcifQ=="/>
  </w:docVars>
  <w:rsids>
    <w:rsidRoot w:val="00CA0525"/>
    <w:rsid w:val="00A16AB7"/>
    <w:rsid w:val="00CA0525"/>
    <w:rsid w:val="045A0EB7"/>
    <w:rsid w:val="05B9056E"/>
    <w:rsid w:val="1299596E"/>
    <w:rsid w:val="1D687604"/>
    <w:rsid w:val="219A7C30"/>
    <w:rsid w:val="25CE3104"/>
    <w:rsid w:val="31D72157"/>
    <w:rsid w:val="31E90C11"/>
    <w:rsid w:val="340D5FC3"/>
    <w:rsid w:val="435C528A"/>
    <w:rsid w:val="480851FA"/>
    <w:rsid w:val="4912383F"/>
    <w:rsid w:val="4AC85700"/>
    <w:rsid w:val="4ED97967"/>
    <w:rsid w:val="50C0378D"/>
    <w:rsid w:val="57E64F8B"/>
    <w:rsid w:val="5994159C"/>
    <w:rsid w:val="5A0D594A"/>
    <w:rsid w:val="5B56239F"/>
    <w:rsid w:val="6130028C"/>
    <w:rsid w:val="659F4F97"/>
    <w:rsid w:val="69BE18A8"/>
    <w:rsid w:val="6FEB3697"/>
    <w:rsid w:val="6FFC0C61"/>
    <w:rsid w:val="7FBB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宋体" w:hAnsi="宋体" w:eastAsia="宋体" w:cs="宋体"/>
      <w:color w:val="000000"/>
      <w:sz w:val="20"/>
      <w:szCs w:val="20"/>
      <w:u w:val="none"/>
    </w:rPr>
  </w:style>
  <w:style w:type="character" w:customStyle="1" w:styleId="7">
    <w:name w:val="font81"/>
    <w:basedOn w:val="5"/>
    <w:qFormat/>
    <w:uiPriority w:val="0"/>
    <w:rPr>
      <w:rFonts w:hint="default" w:ascii="Times New Roman" w:hAnsi="Times New Roman" w:cs="Times New Roman"/>
      <w:color w:val="000000"/>
      <w:sz w:val="20"/>
      <w:szCs w:val="20"/>
      <w:u w:val="none"/>
    </w:rPr>
  </w:style>
  <w:style w:type="character" w:customStyle="1" w:styleId="8">
    <w:name w:val="font51"/>
    <w:basedOn w:val="5"/>
    <w:qFormat/>
    <w:uiPriority w:val="0"/>
    <w:rPr>
      <w:rFonts w:hint="eastAsia" w:ascii="宋体" w:hAnsi="宋体" w:eastAsia="宋体" w:cs="宋体"/>
      <w:color w:val="000000"/>
      <w:sz w:val="20"/>
      <w:szCs w:val="20"/>
      <w:u w:val="none"/>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21"/>
    <w:basedOn w:val="5"/>
    <w:qFormat/>
    <w:uiPriority w:val="0"/>
    <w:rPr>
      <w:rFonts w:hint="default" w:ascii="Times New Roman" w:hAnsi="Times New Roman" w:cs="Times New Roman"/>
      <w:color w:val="000000"/>
      <w:sz w:val="20"/>
      <w:szCs w:val="20"/>
      <w:u w:val="none"/>
    </w:rPr>
  </w:style>
  <w:style w:type="character" w:customStyle="1" w:styleId="11">
    <w:name w:val="font11"/>
    <w:basedOn w:val="5"/>
    <w:uiPriority w:val="0"/>
    <w:rPr>
      <w:rFonts w:hint="default" w:ascii="Times New Roman" w:hAnsi="Times New Roman" w:cs="Times New Roman"/>
      <w:i/>
      <w:color w:val="000000"/>
      <w:sz w:val="20"/>
      <w:szCs w:val="20"/>
      <w:u w:val="none"/>
    </w:rPr>
  </w:style>
  <w:style w:type="character" w:customStyle="1" w:styleId="12">
    <w:name w:val="font141"/>
    <w:basedOn w:val="5"/>
    <w:qFormat/>
    <w:uiPriority w:val="0"/>
    <w:rPr>
      <w:rFonts w:hint="default" w:ascii="Times New Roman" w:hAnsi="Times New Roman" w:cs="Times New Roman"/>
      <w:color w:val="000000"/>
      <w:sz w:val="20"/>
      <w:szCs w:val="20"/>
      <w:u w:val="none"/>
      <w:vertAlign w:val="subscript"/>
    </w:rPr>
  </w:style>
  <w:style w:type="character" w:customStyle="1" w:styleId="13">
    <w:name w:val="font101"/>
    <w:basedOn w:val="5"/>
    <w:qFormat/>
    <w:uiPriority w:val="0"/>
    <w:rPr>
      <w:rFonts w:hint="eastAsia" w:ascii="宋体" w:hAnsi="宋体" w:eastAsia="宋体" w:cs="宋体"/>
      <w:color w:val="000000"/>
      <w:sz w:val="20"/>
      <w:szCs w:val="20"/>
      <w:u w:val="none"/>
    </w:rPr>
  </w:style>
  <w:style w:type="character" w:customStyle="1" w:styleId="14">
    <w:name w:val="font131"/>
    <w:basedOn w:val="5"/>
    <w:qFormat/>
    <w:uiPriority w:val="0"/>
    <w:rPr>
      <w:rFonts w:hint="default" w:ascii="Times New Roman" w:hAnsi="Times New Roman" w:cs="Times New Roman"/>
      <w:color w:val="000000"/>
      <w:sz w:val="20"/>
      <w:szCs w:val="20"/>
      <w:u w:val="none"/>
    </w:rPr>
  </w:style>
  <w:style w:type="character" w:customStyle="1" w:styleId="15">
    <w:name w:val="font61"/>
    <w:basedOn w:val="5"/>
    <w:uiPriority w:val="0"/>
    <w:rPr>
      <w:rFonts w:hint="default" w:ascii="Times New Roman" w:hAnsi="Times New Roman" w:cs="Times New Roman"/>
      <w:color w:val="000000"/>
      <w:sz w:val="20"/>
      <w:szCs w:val="20"/>
      <w:u w:val="none"/>
    </w:rPr>
  </w:style>
  <w:style w:type="character" w:customStyle="1" w:styleId="16">
    <w:name w:val="font91"/>
    <w:basedOn w:val="5"/>
    <w:uiPriority w:val="0"/>
    <w:rPr>
      <w:rFonts w:ascii="方正书宋_GBK" w:hAnsi="方正书宋_GBK" w:eastAsia="方正书宋_GBK" w:cs="方正书宋_GBK"/>
      <w:color w:val="000000"/>
      <w:sz w:val="20"/>
      <w:szCs w:val="20"/>
      <w:u w:val="none"/>
    </w:rPr>
  </w:style>
  <w:style w:type="character" w:customStyle="1" w:styleId="17">
    <w:name w:val="font112"/>
    <w:basedOn w:val="5"/>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7</Pages>
  <Words>4005</Words>
  <Characters>6060</Characters>
  <Lines>3</Lines>
  <Paragraphs>1</Paragraphs>
  <TotalTime>4</TotalTime>
  <ScaleCrop>false</ScaleCrop>
  <LinksUpToDate>false</LinksUpToDate>
  <CharactersWithSpaces>6076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2019-09-27T08:30:00Z</dcterms:created>
  <dc:creator>何利</dc:creator>
  <cp:lastModifiedBy>刘树玲</cp:lastModifiedBy>
  <dcterms:modified xsi:type="dcterms:W3CDTF">2023-05-24T02:39:48Z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159027A9C1664D8B80E84118C09EE5BD_13</vt:lpwstr>
  </property>
</Properties>
</file>